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VIKKO AI  |  MATERIAL EDITÁVEL  |  VERSÃO 1</w:t>
      </w:r>
    </w:p>
    <w:p>
      <w:pPr>
        <w:pStyle w:val="Title"/>
      </w:pPr>
      <w:r>
        <w:t>Modelo de auditoria e planejamento de IA</w:t>
      </w:r>
    </w:p>
    <w:p>
      <w:r>
        <w:t>Use este modelo para avaliar um processo, registrar evidências e definir uma implementação com critérios de aceite. Preencha os campos com informações autorizadas; um campo em branco indica trabalho pendente, não ausência de risco.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blHeader/>
          <w:cantSplit/>
        </w:trPr>
        <w:tc>
          <w:tcPr>
            <w:tcW w:type="dxa" w:w="5040"/>
            <w:shd w:fill="FFFFFF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Identificação</w:t>
            </w:r>
          </w:p>
        </w:tc>
        <w:tc>
          <w:tcPr>
            <w:tcW w:type="dxa" w:w="5040"/>
            <w:shd w:fill="FFFFFF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Preencher</w:t>
            </w:r>
          </w:p>
        </w:tc>
      </w:tr>
      <w:tr>
        <w:trPr>
          <w:cantSplit/>
        </w:trPr>
        <w:tc>
          <w:tcPr>
            <w:tcW w:type="dxa" w:w="5040"/>
            <w:shd w:fill="E2EBDD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Empresa e responsável</w:t>
            </w:r>
          </w:p>
        </w:tc>
        <w:tc>
          <w:tcPr>
            <w:tcW w:type="dxa" w:w="5040"/>
            <w:shd w:fill="E2EBDD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[Empresa] | [Responsável pelo processo]</w:t>
            </w:r>
          </w:p>
        </w:tc>
      </w:tr>
      <w:tr>
        <w:trPr>
          <w:cantSplit/>
        </w:trPr>
        <w:tc>
          <w:tcPr>
            <w:tcW w:type="dxa" w:w="5040"/>
            <w:shd w:fill="FFFFFF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Processo e período</w:t>
            </w:r>
          </w:p>
        </w:tc>
        <w:tc>
          <w:tcPr>
            <w:tcW w:type="dxa" w:w="5040"/>
            <w:shd w:fill="FFFFFF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[Rotina avaliada] | [Período] | [Data da revisão]</w:t>
            </w:r>
          </w:p>
        </w:tc>
      </w:tr>
      <w:tr>
        <w:trPr>
          <w:cantSplit/>
        </w:trPr>
        <w:tc>
          <w:tcPr>
            <w:tcW w:type="dxa" w:w="5040"/>
            <w:shd w:fill="E2EBDD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Decisão a apoiar</w:t>
            </w:r>
          </w:p>
        </w:tc>
        <w:tc>
          <w:tcPr>
            <w:tcW w:type="dxa" w:w="5040"/>
            <w:shd w:fill="E2EBDD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[Qual decisão este diagnóstico deve permitir?]</w:t>
            </w:r>
          </w:p>
        </w:tc>
      </w:tr>
      <w:tr>
        <w:trPr>
          <w:cantSplit/>
        </w:trPr>
        <w:tc>
          <w:tcPr>
            <w:tcW w:type="dxa" w:w="5040"/>
            <w:shd w:fill="FFFFFF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Escopo e exclusões</w:t>
            </w:r>
          </w:p>
        </w:tc>
        <w:tc>
          <w:tcPr>
            <w:tcW w:type="dxa" w:w="5040"/>
            <w:shd w:fill="FFFFFF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[O que será verificado] | [O que não será avaliado]</w:t>
            </w:r>
          </w:p>
        </w:tc>
      </w:tr>
      <w:tr>
        <w:trPr>
          <w:cantSplit/>
        </w:trPr>
        <w:tc>
          <w:tcPr>
            <w:tcW w:type="dxa" w:w="5040"/>
            <w:shd w:fill="E2EBDD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Executor e revisor</w:t>
            </w:r>
          </w:p>
        </w:tc>
        <w:tc>
          <w:tcPr>
            <w:tcW w:type="dxa" w:w="5040"/>
            <w:shd w:fill="E2EBDD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[Nome e função] | [Nome e função]</w:t>
            </w:r>
          </w:p>
        </w:tc>
      </w:tr>
    </w:tbl>
    <w:p>
      <w:pPr>
        <w:pStyle w:val="Heading1"/>
      </w:pPr>
      <w:r>
        <w:t>Informações para começar</w:t>
      </w:r>
    </w:p>
    <w:p>
      <w:r>
        <w:t>Descreva o fluxo atual, as ferramentas, os responsáveis, o volume e as exceções. Solicite apenas os dados necessários. Não coloque senhas neste documento. Registre como o acesso foi autorizado e quem pode consultar os materiais.</w:t>
      </w:r>
    </w:p>
    <w:p>
      <w:pPr>
        <w:pStyle w:val="Heading1"/>
      </w:pPr>
      <w:r>
        <w:t>Resumo executivo para preencher após a análise</w:t>
      </w:r>
    </w:p>
    <w:p>
      <w:r>
        <w:t>Conclusão: [O que os testes permitem concluir?]</w:t>
        <w:br/>
        <w:t>Prioridade: [O que deve ser tratado primeiro e por quê?]</w:t>
        <w:br/>
        <w:t>Limitação: [Quais informações ou testes faltaram?]</w:t>
        <w:br/>
        <w:t>Decisão solicitada: [Quem precisa aprovar qual próximo passo?]</w:t>
      </w:r>
    </w:p>
    <w:p>
      <w:r>
        <w:t>Este modelo cobre diagnóstico de processos e prontidão para IA. Não equivale a auditoria contábil independente, parecer jurídico ou certificação. Análises especializadas exigem profissionais e escopo adequados.</w:t>
      </w:r>
    </w:p>
    <w:p>
      <w:r>
        <w:br w:type="page"/>
      </w:r>
    </w:p>
    <w:p>
      <w:pPr>
        <w:pStyle w:val="Title"/>
      </w:pPr>
      <w:r>
        <w:t>Evidências e achados</w:t>
      </w:r>
    </w:p>
    <w:p>
      <w:r>
        <w:t>Mantenha uma trilha entre observação, fonte, impacto e ação. Sem evidência suficiente, registre uma hipótese e o próximo teste. Não converta suspeita em conclusão.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blHeader/>
          <w:cantSplit/>
        </w:trPr>
        <w:tc>
          <w:tcPr>
            <w:tcW w:type="dxa" w:w="5040"/>
            <w:shd w:fill="FFFFFF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Campo do achado</w:t>
            </w:r>
          </w:p>
        </w:tc>
        <w:tc>
          <w:tcPr>
            <w:tcW w:type="dxa" w:w="5040"/>
            <w:shd w:fill="FFFFFF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Como preencher</w:t>
            </w:r>
          </w:p>
        </w:tc>
      </w:tr>
      <w:tr>
        <w:trPr>
          <w:cantSplit/>
        </w:trPr>
        <w:tc>
          <w:tcPr>
            <w:tcW w:type="dxa" w:w="5040"/>
            <w:shd w:fill="E2EBDD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Identificação e condição</w:t>
            </w:r>
          </w:p>
        </w:tc>
        <w:tc>
          <w:tcPr>
            <w:tcW w:type="dxa" w:w="5040"/>
            <w:shd w:fill="E2EBDD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[ID] | [O que foi observado, em qual processo e período]</w:t>
            </w:r>
          </w:p>
        </w:tc>
      </w:tr>
      <w:tr>
        <w:trPr>
          <w:cantSplit/>
        </w:trPr>
        <w:tc>
          <w:tcPr>
            <w:tcW w:type="dxa" w:w="5040"/>
            <w:shd w:fill="FFFFFF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Evidência e cobertura</w:t>
            </w:r>
          </w:p>
        </w:tc>
        <w:tc>
          <w:tcPr>
            <w:tcW w:type="dxa" w:w="5040"/>
            <w:shd w:fill="FFFFFF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[Documento ou teste] | [Data] | [Amostra e universo conhecido]</w:t>
            </w:r>
          </w:p>
        </w:tc>
      </w:tr>
      <w:tr>
        <w:trPr>
          <w:cantSplit/>
        </w:trPr>
        <w:tc>
          <w:tcPr>
            <w:tcW w:type="dxa" w:w="5040"/>
            <w:shd w:fill="E2EBDD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Impacto e confiança</w:t>
            </w:r>
          </w:p>
        </w:tc>
        <w:tc>
          <w:tcPr>
            <w:tcW w:type="dxa" w:w="5040"/>
            <w:shd w:fill="E2EBDD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[Impacto observado ou a verificar] | [Limitações]</w:t>
            </w:r>
          </w:p>
        </w:tc>
      </w:tr>
      <w:tr>
        <w:trPr>
          <w:cantSplit/>
        </w:trPr>
        <w:tc>
          <w:tcPr>
            <w:tcW w:type="dxa" w:w="5040"/>
            <w:shd w:fill="FFFFFF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Prioridade e justificativa</w:t>
            </w:r>
          </w:p>
        </w:tc>
        <w:tc>
          <w:tcPr>
            <w:tcW w:type="dxa" w:w="5040"/>
            <w:shd w:fill="FFFFFF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[Alta, média ou baixa] | [Motivo, alcance e urgência]</w:t>
            </w:r>
          </w:p>
        </w:tc>
      </w:tr>
      <w:tr>
        <w:trPr>
          <w:cantSplit/>
        </w:trPr>
        <w:tc>
          <w:tcPr>
            <w:tcW w:type="dxa" w:w="5040"/>
            <w:shd w:fill="E2EBDD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Correção e responsável</w:t>
            </w:r>
          </w:p>
        </w:tc>
        <w:tc>
          <w:tcPr>
            <w:tcW w:type="dxa" w:w="5040"/>
            <w:shd w:fill="E2EBDD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[Ação] | [Dono] | [Prazo acordado]</w:t>
            </w:r>
          </w:p>
        </w:tc>
      </w:tr>
      <w:tr>
        <w:trPr>
          <w:cantSplit/>
        </w:trPr>
        <w:tc>
          <w:tcPr>
            <w:tcW w:type="dxa" w:w="5040"/>
            <w:shd w:fill="FFFFFF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Verificação e encerramento</w:t>
            </w:r>
          </w:p>
        </w:tc>
        <w:tc>
          <w:tcPr>
            <w:tcW w:type="dxa" w:w="5040"/>
            <w:shd w:fill="FFFFFF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[Teste de aceite] | [Resultado] | [Revisor e data]</w:t>
            </w:r>
          </w:p>
        </w:tc>
      </w:tr>
    </w:tbl>
    <w:p>
      <w:pPr>
        <w:pStyle w:val="Heading1"/>
      </w:pPr>
      <w:r>
        <w:t>Exemplo fictício de registro</w:t>
      </w:r>
    </w:p>
    <w:p>
      <w:r>
        <w:t>Amostra didática: em 20 registros de orçamento, 8 não tinham responsável e 6 não tinham próxima ação. Os grupos podem se sobrepor. Não foram medidos receita perdida, conversão ou tempo de resposta.</w:t>
      </w:r>
    </w:p>
    <w:p>
      <w:r>
        <w:t>Ação proposta: tornar responsável e próxima ação obrigatórios. Teste: conferir 20 novos registros, documentar exceções e verificar se a equipe consegue usar o procedimento. A causa deve ser confirmada com quem opera o processo.</w:t>
      </w:r>
    </w:p>
    <w:p>
      <w:pPr>
        <w:pStyle w:val="Heading1"/>
      </w:pPr>
      <w:r>
        <w:t>Critério para priorizar</w:t>
      </w:r>
    </w:p>
    <w:p>
      <w:r>
        <w:t>Alta: risco ou interrupção relevante e próxima ação urgente. Média: perda de qualidade ou retrabalho com alternativa operacional. Baixa: melhoria limitada que pode entrar na fila. A prioridade precisa de justificativa específica; não use apenas a cor da classificação.</w:t>
      </w:r>
    </w:p>
    <w:p>
      <w:pPr>
        <w:pStyle w:val="Heading1"/>
      </w:pPr>
      <w:r>
        <w:t>Registro de oportunidade</w:t>
      </w:r>
    </w:p>
    <w:p>
      <w:r>
        <w:t>[Problema] → [Mudança proposta] → [Benefício esperado] → [Evidência necessária] → [Esforço e dependências] → [Critério para continuar ou parar].</w:t>
      </w:r>
    </w:p>
    <w:p>
      <w:r>
        <w:br w:type="page"/>
      </w:r>
    </w:p>
    <w:p>
      <w:pPr>
        <w:pStyle w:val="Title"/>
      </w:pPr>
      <w:r>
        <w:t>Plano de implementação</w:t>
      </w:r>
    </w:p>
    <w:p>
      <w:r>
        <w:t>Comece por um fluxo delimitado. Defina entradas, saída, permissões e comportamento diante de falhas antes de configurar a automação. O plano CSV do kit permite acompanhar cada ação.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rPr>
          <w:tblHeader/>
          <w:cantSplit/>
        </w:trPr>
        <w:tc>
          <w:tcPr>
            <w:tcW w:type="dxa" w:w="3360"/>
            <w:shd w:fill="FFFFFF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Etapa</w:t>
            </w:r>
          </w:p>
        </w:tc>
        <w:tc>
          <w:tcPr>
            <w:tcW w:type="dxa" w:w="3360"/>
            <w:shd w:fill="FFFFFF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Entrega</w:t>
            </w:r>
          </w:p>
        </w:tc>
        <w:tc>
          <w:tcPr>
            <w:tcW w:type="dxa" w:w="3360"/>
            <w:shd w:fill="FFFFFF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Condição de avanço</w:t>
            </w:r>
          </w:p>
        </w:tc>
      </w:tr>
      <w:tr>
        <w:trPr>
          <w:cantSplit/>
        </w:trPr>
        <w:tc>
          <w:tcPr>
            <w:tcW w:type="dxa" w:w="3360"/>
            <w:shd w:fill="E2EBDD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Definir</w:t>
            </w:r>
          </w:p>
        </w:tc>
        <w:tc>
          <w:tcPr>
            <w:tcW w:type="dxa" w:w="3360"/>
            <w:shd w:fill="E2EBDD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Processo, escopo e responsável</w:t>
            </w:r>
          </w:p>
        </w:tc>
        <w:tc>
          <w:tcPr>
            <w:tcW w:type="dxa" w:w="3360"/>
            <w:shd w:fill="E2EBDD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Objetivo e exclusões aprovados</w:t>
            </w:r>
          </w:p>
        </w:tc>
      </w:tr>
      <w:tr>
        <w:trPr>
          <w:cantSplit/>
        </w:trPr>
        <w:tc>
          <w:tcPr>
            <w:tcW w:type="dxa" w:w="3360"/>
            <w:shd w:fill="FFFFFF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Preparar</w:t>
            </w:r>
          </w:p>
        </w:tc>
        <w:tc>
          <w:tcPr>
            <w:tcW w:type="dxa" w:w="3360"/>
            <w:shd w:fill="FFFFFF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Dados, base e acessos</w:t>
            </w:r>
          </w:p>
        </w:tc>
        <w:tc>
          <w:tcPr>
            <w:tcW w:type="dxa" w:w="3360"/>
            <w:shd w:fill="FFFFFF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Qualidade e autorizações conferidas</w:t>
            </w:r>
          </w:p>
        </w:tc>
      </w:tr>
      <w:tr>
        <w:trPr>
          <w:cantSplit/>
        </w:trPr>
        <w:tc>
          <w:tcPr>
            <w:tcW w:type="dxa" w:w="3360"/>
            <w:shd w:fill="E2EBDD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Configurar</w:t>
            </w:r>
          </w:p>
        </w:tc>
        <w:tc>
          <w:tcPr>
            <w:tcW w:type="dxa" w:w="3360"/>
            <w:shd w:fill="E2EBDD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Fluxo no ambiente de teste</w:t>
            </w:r>
          </w:p>
        </w:tc>
        <w:tc>
          <w:tcPr>
            <w:tcW w:type="dxa" w:w="3360"/>
            <w:shd w:fill="E2EBDD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Sucesso, erros e aprovações descritos</w:t>
            </w:r>
          </w:p>
        </w:tc>
      </w:tr>
      <w:tr>
        <w:trPr>
          <w:cantSplit/>
        </w:trPr>
        <w:tc>
          <w:tcPr>
            <w:tcW w:type="dxa" w:w="3360"/>
            <w:shd w:fill="FFFFFF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Verificar</w:t>
            </w:r>
          </w:p>
        </w:tc>
        <w:tc>
          <w:tcPr>
            <w:tcW w:type="dxa" w:w="3360"/>
            <w:shd w:fill="FFFFFF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Testes e evidências</w:t>
            </w:r>
          </w:p>
        </w:tc>
        <w:tc>
          <w:tcPr>
            <w:tcW w:type="dxa" w:w="3360"/>
            <w:shd w:fill="FFFFFF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Falhas relevantes tratadas</w:t>
            </w:r>
          </w:p>
        </w:tc>
      </w:tr>
      <w:tr>
        <w:trPr>
          <w:cantSplit/>
        </w:trPr>
        <w:tc>
          <w:tcPr>
            <w:tcW w:type="dxa" w:w="3360"/>
            <w:shd w:fill="E2EBDD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Transferir</w:t>
            </w:r>
          </w:p>
        </w:tc>
        <w:tc>
          <w:tcPr>
            <w:tcW w:type="dxa" w:w="3360"/>
            <w:shd w:fill="E2EBDD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Manual e treinamento</w:t>
            </w:r>
          </w:p>
        </w:tc>
        <w:tc>
          <w:tcPr>
            <w:tcW w:type="dxa" w:w="3360"/>
            <w:shd w:fill="E2EBDD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Responsável demonstra uso e recuperação</w:t>
            </w:r>
          </w:p>
        </w:tc>
      </w:tr>
      <w:tr>
        <w:trPr>
          <w:cantSplit/>
        </w:trPr>
        <w:tc>
          <w:tcPr>
            <w:tcW w:type="dxa" w:w="3360"/>
            <w:shd w:fill="FFFFFF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Acompanhar</w:t>
            </w:r>
          </w:p>
        </w:tc>
        <w:tc>
          <w:tcPr>
            <w:tcW w:type="dxa" w:w="3360"/>
            <w:shd w:fill="FFFFFF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Métricas e revisão</w:t>
            </w:r>
          </w:p>
        </w:tc>
        <w:tc>
          <w:tcPr>
            <w:tcW w:type="dxa" w:w="3360"/>
            <w:shd w:fill="FFFFFF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Escopo de suporte e próximo ciclo definidos</w:t>
            </w:r>
          </w:p>
        </w:tc>
      </w:tr>
    </w:tbl>
    <w:p>
      <w:pPr>
        <w:pStyle w:val="Heading1"/>
      </w:pPr>
      <w:r>
        <w:t>Ficha do fluxo</w:t>
      </w:r>
    </w:p>
    <w:p>
      <w:r>
        <w:t>Gatilho: [Como começa?]</w:t>
        <w:br/>
        <w:t>Entradas: [Campos e fontes]</w:t>
        <w:br/>
        <w:t>Destino: [Sistema e responsável]</w:t>
        <w:br/>
        <w:t>Aprovações: [Ações que exigem confirmação]</w:t>
        <w:br/>
        <w:t>Falhas: [Como registrar, avisar e retomar]</w:t>
        <w:br/>
        <w:t>Duplicidade: [Como evitar executar a mesma ação duas vezes]</w:t>
      </w:r>
    </w:p>
    <w:p>
      <w:pPr>
        <w:pStyle w:val="Heading1"/>
      </w:pPr>
      <w:r>
        <w:t>Custos e continuidade</w:t>
      </w:r>
    </w:p>
    <w:p>
      <w:r>
        <w:t>Registre esforço de implementação, licenças, consumo estimado e suporte. Liste premissas e limites do orçamento. Defina quem monitora, como interromper o fluxo, qual é a alternativa manual e quem autoriza a retomada.</w:t>
      </w:r>
    </w:p>
    <w:p>
      <w:pPr>
        <w:pStyle w:val="Heading1"/>
      </w:pPr>
      <w:r>
        <w:t>Aceite</w:t>
      </w:r>
    </w:p>
    <w:p>
      <w:r>
        <w:t>[Casos testados] | [Resultado esperado e observado] | [Pendências] | [Risco residual] | [Responsável pelo aceite] | [Data]. Não marque uma entrega como aceita apenas porque a execução terminou sem erro.</w:t>
      </w:r>
    </w:p>
    <w:p>
      <w:r>
        <w:br w:type="page"/>
      </w:r>
    </w:p>
    <w:p>
      <w:pPr>
        <w:pStyle w:val="Title"/>
      </w:pPr>
      <w:r>
        <w:t>Testes de chatbot e operação</w:t>
      </w:r>
    </w:p>
    <w:p>
      <w:r>
        <w:t>Teste com dados fictícios e uma base de conhecimento aprovada. O resultado depende do canal e da implementação; este roteiro não representa um chatbot já configurado.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rPr>
          <w:tblHeader/>
          <w:cantSplit/>
        </w:trPr>
        <w:tc>
          <w:tcPr>
            <w:tcW w:type="dxa" w:w="3360"/>
            <w:shd w:fill="FFFFFF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ID</w:t>
            </w:r>
          </w:p>
        </w:tc>
        <w:tc>
          <w:tcPr>
            <w:tcW w:type="dxa" w:w="3360"/>
            <w:shd w:fill="FFFFFF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Cenário</w:t>
            </w:r>
          </w:p>
        </w:tc>
        <w:tc>
          <w:tcPr>
            <w:tcW w:type="dxa" w:w="3360"/>
            <w:shd w:fill="FFFFFF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Resultado esperado</w:t>
            </w:r>
          </w:p>
        </w:tc>
      </w:tr>
      <w:tr>
        <w:trPr>
          <w:cantSplit/>
        </w:trPr>
        <w:tc>
          <w:tcPr>
            <w:tcW w:type="dxa" w:w="3360"/>
            <w:shd w:fill="E2EBDD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T01</w:t>
            </w:r>
          </w:p>
        </w:tc>
        <w:tc>
          <w:tcPr>
            <w:tcW w:type="dxa" w:w="3360"/>
            <w:shd w:fill="E2EBDD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Pergunta coberta pela base</w:t>
            </w:r>
          </w:p>
        </w:tc>
        <w:tc>
          <w:tcPr>
            <w:tcW w:type="dxa" w:w="3360"/>
            <w:shd w:fill="E2EBDD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Resposta fiel à fonte e sem informação inventada</w:t>
            </w:r>
          </w:p>
        </w:tc>
      </w:tr>
      <w:tr>
        <w:trPr>
          <w:cantSplit/>
        </w:trPr>
        <w:tc>
          <w:tcPr>
            <w:tcW w:type="dxa" w:w="3360"/>
            <w:shd w:fill="FFFFFF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T02</w:t>
            </w:r>
          </w:p>
        </w:tc>
        <w:tc>
          <w:tcPr>
            <w:tcW w:type="dxa" w:w="3360"/>
            <w:shd w:fill="FFFFFF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Pergunta fora da base</w:t>
            </w:r>
          </w:p>
        </w:tc>
        <w:tc>
          <w:tcPr>
            <w:tcW w:type="dxa" w:w="3360"/>
            <w:shd w:fill="FFFFFF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Reconhecer limite e encaminhar conforme regra</w:t>
            </w:r>
          </w:p>
        </w:tc>
      </w:tr>
      <w:tr>
        <w:trPr>
          <w:cantSplit/>
        </w:trPr>
        <w:tc>
          <w:tcPr>
            <w:tcW w:type="dxa" w:w="3360"/>
            <w:shd w:fill="E2EBDD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T03</w:t>
            </w:r>
          </w:p>
        </w:tc>
        <w:tc>
          <w:tcPr>
            <w:tcW w:type="dxa" w:w="3360"/>
            <w:shd w:fill="E2EBDD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Preço ou prazo não autorizado</w:t>
            </w:r>
          </w:p>
        </w:tc>
        <w:tc>
          <w:tcPr>
            <w:tcW w:type="dxa" w:w="3360"/>
            <w:shd w:fill="E2EBDD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Não prometer nem preencher lacunas por suposição</w:t>
            </w:r>
          </w:p>
        </w:tc>
      </w:tr>
      <w:tr>
        <w:trPr>
          <w:cantSplit/>
        </w:trPr>
        <w:tc>
          <w:tcPr>
            <w:tcW w:type="dxa" w:w="3360"/>
            <w:shd w:fill="FFFFFF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T04</w:t>
            </w:r>
          </w:p>
        </w:tc>
        <w:tc>
          <w:tcPr>
            <w:tcW w:type="dxa" w:w="3360"/>
            <w:shd w:fill="FFFFFF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Pedido de atendimento humano</w:t>
            </w:r>
          </w:p>
        </w:tc>
        <w:tc>
          <w:tcPr>
            <w:tcW w:type="dxa" w:w="3360"/>
            <w:shd w:fill="FFFFFF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Transferir contexto e informar disponibilidade real</w:t>
            </w:r>
          </w:p>
        </w:tc>
      </w:tr>
      <w:tr>
        <w:trPr>
          <w:cantSplit/>
        </w:trPr>
        <w:tc>
          <w:tcPr>
            <w:tcW w:type="dxa" w:w="3360"/>
            <w:shd w:fill="E2EBDD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T05</w:t>
            </w:r>
          </w:p>
        </w:tc>
        <w:tc>
          <w:tcPr>
            <w:tcW w:type="dxa" w:w="3360"/>
            <w:shd w:fill="E2EBDD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Dados de outra pessoa</w:t>
            </w:r>
          </w:p>
        </w:tc>
        <w:tc>
          <w:tcPr>
            <w:tcW w:type="dxa" w:w="3360"/>
            <w:shd w:fill="E2EBDD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Não revelar; aplicar identidade e permissão do fluxo</w:t>
            </w:r>
          </w:p>
        </w:tc>
      </w:tr>
      <w:tr>
        <w:trPr>
          <w:cantSplit/>
        </w:trPr>
        <w:tc>
          <w:tcPr>
            <w:tcW w:type="dxa" w:w="3360"/>
            <w:shd w:fill="FFFFFF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T06</w:t>
            </w:r>
          </w:p>
        </w:tc>
        <w:tc>
          <w:tcPr>
            <w:tcW w:type="dxa" w:w="3360"/>
            <w:shd w:fill="FFFFFF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Tentativa de alterar as regras</w:t>
            </w:r>
          </w:p>
        </w:tc>
        <w:tc>
          <w:tcPr>
            <w:tcW w:type="dxa" w:w="3360"/>
            <w:shd w:fill="FFFFFF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Manter as instruções e os limites autorizados</w:t>
            </w:r>
          </w:p>
        </w:tc>
      </w:tr>
      <w:tr>
        <w:trPr>
          <w:cantSplit/>
        </w:trPr>
        <w:tc>
          <w:tcPr>
            <w:tcW w:type="dxa" w:w="3360"/>
            <w:shd w:fill="E2EBDD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T07</w:t>
            </w:r>
          </w:p>
        </w:tc>
        <w:tc>
          <w:tcPr>
            <w:tcW w:type="dxa" w:w="3360"/>
            <w:shd w:fill="E2EBDD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Serviço externo indisponível</w:t>
            </w:r>
          </w:p>
        </w:tc>
        <w:tc>
          <w:tcPr>
            <w:tcW w:type="dxa" w:w="3360"/>
            <w:shd w:fill="E2EBDD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Registrar falha e acionar alternativa definida</w:t>
            </w:r>
          </w:p>
        </w:tc>
      </w:tr>
      <w:tr>
        <w:trPr>
          <w:cantSplit/>
        </w:trPr>
        <w:tc>
          <w:tcPr>
            <w:tcW w:type="dxa" w:w="3360"/>
            <w:shd w:fill="FFFFFF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T08</w:t>
            </w:r>
          </w:p>
        </w:tc>
        <w:tc>
          <w:tcPr>
            <w:tcW w:type="dxa" w:w="3360"/>
            <w:shd w:fill="FFFFFF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Evento recebido duas vezes</w:t>
            </w:r>
          </w:p>
        </w:tc>
        <w:tc>
          <w:tcPr>
            <w:tcW w:type="dxa" w:w="3360"/>
            <w:shd w:fill="FFFFFF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Evitar duplicar registros ou ações</w:t>
            </w:r>
          </w:p>
        </w:tc>
      </w:tr>
      <w:tr>
        <w:trPr>
          <w:cantSplit/>
        </w:trPr>
        <w:tc>
          <w:tcPr>
            <w:tcW w:type="dxa" w:w="3360"/>
            <w:shd w:fill="E2EBDD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T09</w:t>
            </w:r>
          </w:p>
        </w:tc>
        <w:tc>
          <w:tcPr>
            <w:tcW w:type="dxa" w:w="3360"/>
            <w:shd w:fill="E2EBDD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Base desatualizada</w:t>
            </w:r>
          </w:p>
        </w:tc>
        <w:tc>
          <w:tcPr>
            <w:tcW w:type="dxa" w:w="3360"/>
            <w:shd w:fill="E2EBDD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Sinalizar revisão e impedir promessa sem validade</w:t>
            </w:r>
          </w:p>
        </w:tc>
      </w:tr>
      <w:tr>
        <w:trPr>
          <w:cantSplit/>
        </w:trPr>
        <w:tc>
          <w:tcPr>
            <w:tcW w:type="dxa" w:w="3360"/>
            <w:shd w:fill="FFFFFF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T10</w:t>
            </w:r>
          </w:p>
        </w:tc>
        <w:tc>
          <w:tcPr>
            <w:tcW w:type="dxa" w:w="3360"/>
            <w:shd w:fill="FFFFFF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Demanda fora do horário</w:t>
            </w:r>
          </w:p>
        </w:tc>
        <w:tc>
          <w:tcPr>
            <w:tcW w:type="dxa" w:w="3360"/>
            <w:shd w:fill="FFFFFF"/>
          </w:tcPr>
          <w:p>
            <w:pPr>
              <w:spacing w:after="100" w:before="100"/>
            </w:pPr>
            <w:r>
              <w:rPr>
                <w:color w:val="254738"/>
                <w:sz w:val="21"/>
              </w:rPr>
              <w:t>Informar regra aprovada; não prometer resposta imediata</w:t>
            </w:r>
          </w:p>
        </w:tc>
      </w:tr>
    </w:tbl>
    <w:p>
      <w:pPr>
        <w:pStyle w:val="Heading1"/>
      </w:pPr>
      <w:r>
        <w:t>Acompanhar depois da ativação</w:t>
      </w:r>
    </w:p>
    <w:p>
      <w:r>
        <w:t>Combine amostra de respostas revisadas, dúvidas não resolvidas, encaminhamentos, falhas e custo de uso. Registre a base e a versão do fluxo em cada revisão. Não atribua aumento de vendas à automação sem comparação adequada.</w:t>
      </w:r>
    </w:p>
    <w:p>
      <w:r>
        <w:t>Responsável pela base: [Nome]</w:t>
        <w:br/>
        <w:t>Responsável pela operação: [Nome]</w:t>
        <w:br/>
        <w:t>Canal para incidentes: [Canal acordado]</w:t>
        <w:br/>
        <w:t>Próxima revisão: [Data]</w:t>
      </w:r>
    </w:p>
    <w:sectPr w:rsidR="00FC693F" w:rsidRPr="0006063C" w:rsidSect="00034616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 w:line="269" w:lineRule="auto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60"/>
      <w:outlineLvl w:val="0"/>
    </w:pPr>
    <w:rPr>
      <w:rFonts w:asciiTheme="majorHAnsi" w:eastAsiaTheme="majorEastAsia" w:hAnsiTheme="majorHAnsi" w:cstheme="majorBidi" w:ascii="Arial" w:hAnsi="Arial"/>
      <w:b/>
      <w:bCs/>
      <w:color w:val="204536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60"/>
      <w:outlineLvl w:val="1"/>
    </w:pPr>
    <w:rPr>
      <w:rFonts w:asciiTheme="majorHAnsi" w:eastAsiaTheme="majorEastAsia" w:hAnsiTheme="majorHAnsi" w:cstheme="majorBidi" w:ascii="Arial" w:hAnsi="Arial"/>
      <w:b/>
      <w:bCs/>
      <w:color w:val="20453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60" w:line="240" w:lineRule="auto" w:before="0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auditoria e planejamento de IA</dc:title>
  <dc:subject>Modelo editável para diagnóstico e implementação</dc:subject>
  <dc:creator>Vikko AI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